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r>
        <w:drawing>
          <wp:inline distT="0" distB="0" distL="114300" distR="114300">
            <wp:extent cx="8828405" cy="4333240"/>
            <wp:effectExtent l="4445" t="4445" r="6350" b="571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10A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6992;&#35831;&#20989;\2017&#29983;&#28304;&#26465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微软雅黑" charset="0"/>
                <a:ea typeface="微软雅黑" charset="0"/>
                <a:cs typeface="+mn-cs"/>
              </a:rPr>
              <a:t>北京工业职业技术学院</a:t>
            </a:r>
            <a:r>
              <a:rPr lang="en-US" altLang="zh-CN" sz="16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微软雅黑" charset="0"/>
                <a:ea typeface="微软雅黑" charset="0"/>
                <a:cs typeface="+mn-cs"/>
              </a:rPr>
              <a:t>2017</a:t>
            </a:r>
            <a:r>
              <a:rPr altLang="en-US" sz="16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微软雅黑" charset="0"/>
                <a:ea typeface="微软雅黑" charset="0"/>
                <a:cs typeface="+mn-cs"/>
              </a:rPr>
              <a:t>届毕业生生源统计图</a:t>
            </a:r>
            <a:endParaRPr altLang="en-US" sz="16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effectLst/>
              <a:latin typeface="微软雅黑" charset="0"/>
              <a:ea typeface="微软雅黑" charset="0"/>
              <a:cs typeface="+mn-cs"/>
            </a:endParaRPr>
          </a:p>
        </c:rich>
      </c:tx>
      <c:layout>
        <c:manualLayout>
          <c:xMode val="edge"/>
          <c:yMode val="edge"/>
          <c:x val="0.220448981993207"/>
          <c:y val="0.037255592719205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02070052297237"/>
          <c:y val="0.121327170683394"/>
          <c:w val="0.907308316950167"/>
          <c:h val="0.7120501815780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[2017生源条形图.xlsx]Sheet1!$B$1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anchor="ctr" anchorCtr="1"/>
              <a:lstStyle/>
              <a:p>
                <a:pPr>
                  <a:defRPr sz="900" kern="12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noFill/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[2017生源条形图.xlsx]Sheet1!$A$2:$A$23</c:f>
              <c:strCache>
                <c:ptCount val="22"/>
                <c:pt idx="0">
                  <c:v>北京</c:v>
                </c:pt>
                <c:pt idx="1">
                  <c:v>河北</c:v>
                </c:pt>
                <c:pt idx="2">
                  <c:v>山东</c:v>
                </c:pt>
                <c:pt idx="3">
                  <c:v>内蒙古</c:v>
                </c:pt>
                <c:pt idx="4">
                  <c:v>河南</c:v>
                </c:pt>
                <c:pt idx="5">
                  <c:v>山西</c:v>
                </c:pt>
                <c:pt idx="6">
                  <c:v>安徽</c:v>
                </c:pt>
                <c:pt idx="7">
                  <c:v>黑龙江</c:v>
                </c:pt>
                <c:pt idx="8">
                  <c:v>吉林</c:v>
                </c:pt>
                <c:pt idx="9">
                  <c:v>陕西</c:v>
                </c:pt>
                <c:pt idx="10">
                  <c:v>浙江</c:v>
                </c:pt>
                <c:pt idx="11">
                  <c:v>青海</c:v>
                </c:pt>
                <c:pt idx="12">
                  <c:v>江苏</c:v>
                </c:pt>
                <c:pt idx="13">
                  <c:v>辽宁</c:v>
                </c:pt>
                <c:pt idx="14">
                  <c:v>湖北</c:v>
                </c:pt>
                <c:pt idx="15">
                  <c:v>福建</c:v>
                </c:pt>
                <c:pt idx="16">
                  <c:v>天津</c:v>
                </c:pt>
                <c:pt idx="17">
                  <c:v>湖南</c:v>
                </c:pt>
                <c:pt idx="18">
                  <c:v>重庆</c:v>
                </c:pt>
                <c:pt idx="19">
                  <c:v>四川</c:v>
                </c:pt>
                <c:pt idx="20">
                  <c:v>广东</c:v>
                </c:pt>
                <c:pt idx="21">
                  <c:v>海南</c:v>
                </c:pt>
              </c:strCache>
            </c:strRef>
          </c:cat>
          <c:val>
            <c:numRef>
              <c:f>[2017生源条形图.xlsx]Sheet1!$B$2:$B$23</c:f>
              <c:numCache>
                <c:formatCode>General</c:formatCode>
                <c:ptCount val="22"/>
                <c:pt idx="0" c:formatCode="General">
                  <c:v>985</c:v>
                </c:pt>
                <c:pt idx="1" c:formatCode="General">
                  <c:v>115</c:v>
                </c:pt>
                <c:pt idx="2" c:formatCode="General">
                  <c:v>93</c:v>
                </c:pt>
                <c:pt idx="3" c:formatCode="General">
                  <c:v>87</c:v>
                </c:pt>
                <c:pt idx="4" c:formatCode="General">
                  <c:v>79</c:v>
                </c:pt>
                <c:pt idx="5" c:formatCode="General">
                  <c:v>67</c:v>
                </c:pt>
                <c:pt idx="6" c:formatCode="General">
                  <c:v>49</c:v>
                </c:pt>
                <c:pt idx="7" c:formatCode="General">
                  <c:v>35</c:v>
                </c:pt>
                <c:pt idx="8" c:formatCode="General">
                  <c:v>32</c:v>
                </c:pt>
                <c:pt idx="9" c:formatCode="General">
                  <c:v>29</c:v>
                </c:pt>
                <c:pt idx="10" c:formatCode="General">
                  <c:v>25</c:v>
                </c:pt>
                <c:pt idx="11" c:formatCode="General">
                  <c:v>25</c:v>
                </c:pt>
                <c:pt idx="12" c:formatCode="General">
                  <c:v>24</c:v>
                </c:pt>
                <c:pt idx="13" c:formatCode="General">
                  <c:v>16</c:v>
                </c:pt>
                <c:pt idx="14" c:formatCode="General">
                  <c:v>14</c:v>
                </c:pt>
                <c:pt idx="15" c:formatCode="General">
                  <c:v>12</c:v>
                </c:pt>
                <c:pt idx="16" c:formatCode="General">
                  <c:v>9</c:v>
                </c:pt>
                <c:pt idx="17" c:formatCode="General">
                  <c:v>2</c:v>
                </c:pt>
                <c:pt idx="18" c:formatCode="General">
                  <c:v>2</c:v>
                </c:pt>
                <c:pt idx="19" c:formatCode="General">
                  <c:v>2</c:v>
                </c:pt>
                <c:pt idx="20" c:formatCode="General">
                  <c:v>1</c:v>
                </c:pt>
                <c:pt idx="21" c:formatCode="General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393922586"/>
        <c:axId val="483643222"/>
      </c:barChart>
      <c:catAx>
        <c:axId val="39392258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3643222"/>
        <c:crosses val="autoZero"/>
        <c:auto val="1"/>
        <c:lblAlgn val="ctr"/>
        <c:lblOffset val="100"/>
        <c:tickMarkSkip val="1"/>
        <c:noMultiLvlLbl val="0"/>
      </c:catAx>
      <c:valAx>
        <c:axId val="483643222"/>
        <c:scaling>
          <c:orientation val="minMax"/>
        </c:scaling>
        <c:delete val="0"/>
        <c:axPos val="l"/>
        <c:majorGridlines>
          <c:spPr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392258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 w="6350">
          <a:solidFill>
            <a:schemeClr val="tx1">
              <a:lumMod val="50000"/>
              <a:lumOff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2016-09-29T06:46:16Z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