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552"/>
        <w:gridCol w:w="889"/>
        <w:gridCol w:w="889"/>
        <w:gridCol w:w="887"/>
        <w:gridCol w:w="973"/>
        <w:gridCol w:w="973"/>
        <w:gridCol w:w="973"/>
        <w:gridCol w:w="636"/>
        <w:gridCol w:w="720"/>
        <w:gridCol w:w="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87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特高建设-实训基地-华为信息与网络工程师学院-教学资源建设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方园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77.600000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97.00%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77.600000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5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5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2020年，完成计算机网络技术课程内容开发1门，华为路由交换技术课程内容开发1门。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2021年，完成华为安全技术课程内容开发1门，华为云计算技术课程内容开发1门。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2022年，完成华为云服务技术课程内容开发1门，华为大数据技术课程内容开发1门。</w:t>
            </w:r>
          </w:p>
        </w:tc>
        <w:tc>
          <w:tcPr>
            <w:tcW w:w="22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完成计算机网络技术课程内容开发1门，华为路由交换技术课程内容开发1门。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2021年完成课程资源开发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项目建设进度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2022年12月前完成。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按照本年度时间完成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项目总预算240万元内，2020年度项目预算控制在80万元内。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实际支出77.6万元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在未来学校办学模式、专业建设、师资培养等发展过程中，都将起到关键作用。使学校能够更好的服务北京“四个中心”功能建设要求，服务北京市信息技术产业发展，助力北京构建高精尖经济结构的发展布局。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紧跟技术发展，不断在线更新，满足5年内使用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4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90.20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55"/>
    <w:rsid w:val="00017E55"/>
    <w:rsid w:val="008435A8"/>
    <w:rsid w:val="00991F57"/>
    <w:rsid w:val="00A46249"/>
    <w:rsid w:val="00C6150B"/>
    <w:rsid w:val="00E77BCD"/>
    <w:rsid w:val="13FE1DCB"/>
    <w:rsid w:val="2DB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233</Words>
  <Characters>1333</Characters>
  <Lines>11</Lines>
  <Paragraphs>3</Paragraphs>
  <TotalTime>6</TotalTime>
  <ScaleCrop>false</ScaleCrop>
  <LinksUpToDate>false</LinksUpToDate>
  <CharactersWithSpaces>1563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2022-04-25T14:59:00Z</dcterms:created>
  <dc:creator>雪</dc:creator>
  <cp:lastModifiedBy>a</cp:lastModifiedBy>
  <cp:lastPrinted>2022-04-28T08:18:00Z</cp:lastPrinted>
  <dcterms:modified xsi:type="dcterms:W3CDTF">2022-05-13T09:02:12Z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